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5" w:rsidRPr="00241CB4" w:rsidRDefault="00B12962" w:rsidP="00E31F55">
      <w:pPr>
        <w:rPr>
          <w:rFonts w:ascii="Courier New" w:hAnsi="Courier New" w:cs="Courier New"/>
          <w:sz w:val="24"/>
          <w:szCs w:val="24"/>
        </w:rPr>
      </w:pPr>
    </w:p>
    <w:p w:rsidR="000A0080" w:rsidRPr="00E17804" w:rsidRDefault="00CC5965" w:rsidP="00CC5965">
      <w:pPr>
        <w:jc w:val="center"/>
        <w:rPr>
          <w:rFonts w:ascii="Courier New" w:hAnsi="Courier New" w:cs="Courier New"/>
          <w:b/>
          <w:sz w:val="36"/>
          <w:szCs w:val="28"/>
          <w:u w:val="single"/>
        </w:rPr>
      </w:pPr>
      <w:r w:rsidRPr="00E17804">
        <w:rPr>
          <w:rFonts w:ascii="Courier New" w:hAnsi="Courier New" w:cs="Courier New"/>
          <w:b/>
          <w:sz w:val="36"/>
          <w:szCs w:val="28"/>
          <w:u w:val="single"/>
        </w:rPr>
        <w:t>ORDINANCE N</w:t>
      </w:r>
      <w:r w:rsidR="00B12962" w:rsidRPr="00E17804">
        <w:rPr>
          <w:rFonts w:ascii="Courier New" w:hAnsi="Courier New" w:cs="Courier New"/>
          <w:b/>
          <w:sz w:val="36"/>
          <w:szCs w:val="28"/>
          <w:u w:val="single"/>
        </w:rPr>
        <w:t>UMBER</w:t>
      </w:r>
      <w:r w:rsidRPr="00E17804">
        <w:rPr>
          <w:rFonts w:ascii="Courier New" w:hAnsi="Courier New" w:cs="Courier New"/>
          <w:b/>
          <w:sz w:val="36"/>
          <w:szCs w:val="28"/>
          <w:u w:val="single"/>
        </w:rPr>
        <w:t xml:space="preserve"> </w:t>
      </w:r>
      <w:r w:rsidR="00B12962">
        <w:rPr>
          <w:rFonts w:ascii="Courier New" w:hAnsi="Courier New" w:cs="Courier New"/>
          <w:b/>
          <w:sz w:val="36"/>
          <w:szCs w:val="28"/>
          <w:u w:val="single"/>
        </w:rPr>
        <w:t>631</w:t>
      </w:r>
    </w:p>
    <w:p w:rsidR="00CC5965" w:rsidRPr="00241CB4" w:rsidRDefault="00CC5965" w:rsidP="00CC5965">
      <w:pPr>
        <w:jc w:val="center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AN ORDINANCE </w:t>
      </w:r>
      <w:r w:rsidR="00B12962" w:rsidRPr="00241CB4">
        <w:rPr>
          <w:rFonts w:ascii="Courier New" w:hAnsi="Courier New" w:cs="Courier New"/>
          <w:sz w:val="24"/>
          <w:szCs w:val="24"/>
        </w:rPr>
        <w:t>OF THE TOWN OF BASIN, BIG HORN COUNTY, WYOMING, AMENDING</w:t>
      </w:r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B12962">
        <w:rPr>
          <w:rFonts w:ascii="Courier New" w:hAnsi="Courier New" w:cs="Courier New"/>
          <w:sz w:val="24"/>
          <w:szCs w:val="24"/>
        </w:rPr>
        <w:t>SECTION 4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OF CHAPTER 2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OF </w:t>
      </w:r>
      <w:r w:rsidRPr="00241CB4">
        <w:rPr>
          <w:rFonts w:ascii="Courier New" w:hAnsi="Courier New" w:cs="Courier New"/>
          <w:sz w:val="24"/>
          <w:szCs w:val="24"/>
        </w:rPr>
        <w:t xml:space="preserve">TITLE 9 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OF </w:t>
      </w:r>
      <w:r w:rsidRPr="00241CB4">
        <w:rPr>
          <w:rFonts w:ascii="Courier New" w:hAnsi="Courier New" w:cs="Courier New"/>
          <w:sz w:val="24"/>
          <w:szCs w:val="24"/>
        </w:rPr>
        <w:t>THE BASIN TOWN CODE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BY ESTABLISHING NEW </w:t>
      </w:r>
      <w:r w:rsidR="00B12962">
        <w:rPr>
          <w:rFonts w:ascii="Courier New" w:hAnsi="Courier New" w:cs="Courier New"/>
          <w:sz w:val="24"/>
          <w:szCs w:val="24"/>
        </w:rPr>
        <w:t>GARBAGE SERVICE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RATES</w:t>
      </w:r>
      <w:r w:rsidRPr="00241CB4">
        <w:rPr>
          <w:rFonts w:ascii="Courier New" w:hAnsi="Courier New" w:cs="Courier New"/>
          <w:sz w:val="24"/>
          <w:szCs w:val="24"/>
        </w:rPr>
        <w:t>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>BE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>IT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>ORDAINED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241CB4">
        <w:rPr>
          <w:rFonts w:ascii="Courier New" w:hAnsi="Courier New" w:cs="Courier New"/>
          <w:sz w:val="24"/>
          <w:szCs w:val="24"/>
        </w:rPr>
        <w:t>BY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 xml:space="preserve"> THE</w:t>
      </w:r>
      <w:proofErr w:type="gramEnd"/>
      <w:r w:rsidR="00B12962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 xml:space="preserve"> TOWN COUNCIL OF THE TOWN OF BASIN, BIG HORN COUNTY, WYOMING: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1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B12962">
        <w:rPr>
          <w:rFonts w:ascii="Courier New" w:hAnsi="Courier New" w:cs="Courier New"/>
          <w:sz w:val="24"/>
          <w:szCs w:val="24"/>
        </w:rPr>
        <w:t xml:space="preserve"> Section 4</w:t>
      </w:r>
      <w:r w:rsidR="00B12962" w:rsidRPr="00241CB4">
        <w:rPr>
          <w:rFonts w:ascii="Courier New" w:hAnsi="Courier New" w:cs="Courier New"/>
          <w:sz w:val="24"/>
          <w:szCs w:val="24"/>
        </w:rPr>
        <w:t xml:space="preserve"> of Chapter 2 of Title 9 of t</w:t>
      </w:r>
      <w:r w:rsidRPr="00241CB4">
        <w:rPr>
          <w:rFonts w:ascii="Courier New" w:hAnsi="Courier New" w:cs="Courier New"/>
          <w:sz w:val="24"/>
          <w:szCs w:val="24"/>
        </w:rPr>
        <w:t xml:space="preserve">he Basin Town Code shall be and is hereby </w:t>
      </w:r>
      <w:proofErr w:type="gramStart"/>
      <w:r w:rsidRPr="00241CB4">
        <w:rPr>
          <w:rFonts w:ascii="Courier New" w:hAnsi="Courier New" w:cs="Courier New"/>
          <w:sz w:val="24"/>
          <w:szCs w:val="24"/>
        </w:rPr>
        <w:t>Amended</w:t>
      </w:r>
      <w:proofErr w:type="gramEnd"/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B12962" w:rsidRPr="00241CB4">
        <w:rPr>
          <w:rFonts w:ascii="Courier New" w:hAnsi="Courier New" w:cs="Courier New"/>
          <w:sz w:val="24"/>
          <w:szCs w:val="24"/>
        </w:rPr>
        <w:t>to read as follows,</w:t>
      </w:r>
      <w:r w:rsidRPr="00241CB4">
        <w:rPr>
          <w:rFonts w:ascii="Courier New" w:hAnsi="Courier New" w:cs="Courier New"/>
          <w:sz w:val="24"/>
          <w:szCs w:val="24"/>
        </w:rPr>
        <w:t xml:space="preserve"> to-wit</w:t>
      </w:r>
      <w:r w:rsidR="00B12962">
        <w:rPr>
          <w:rFonts w:ascii="Courier New" w:hAnsi="Courier New" w:cs="Courier New"/>
          <w:sz w:val="24"/>
          <w:szCs w:val="24"/>
        </w:rPr>
        <w:t>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A95587" w:rsidRPr="00954DF3" w:rsidRDefault="00B12962" w:rsidP="00A95587">
      <w:pPr>
        <w:suppressAutoHyphens/>
        <w:spacing w:line="240" w:lineRule="atLeast"/>
        <w:rPr>
          <w:rFonts w:ascii="Courier New" w:hAnsi="Courier New" w:cs="Courier New"/>
          <w:b/>
        </w:rPr>
      </w:pPr>
      <w:r w:rsidRPr="00A95587">
        <w:rPr>
          <w:rFonts w:ascii="Courier New" w:hAnsi="Courier New" w:cs="Courier New"/>
          <w:b/>
        </w:rPr>
        <w:t>9</w:t>
      </w:r>
      <w:r w:rsidRPr="00A95587">
        <w:rPr>
          <w:rFonts w:ascii="Courier New" w:hAnsi="Courier New" w:cs="Courier New"/>
          <w:b/>
        </w:rPr>
        <w:noBreakHyphen/>
        <w:t>2</w:t>
      </w:r>
      <w:r w:rsidRPr="00A95587">
        <w:rPr>
          <w:rFonts w:ascii="Courier New" w:hAnsi="Courier New" w:cs="Courier New"/>
          <w:b/>
        </w:rPr>
        <w:noBreakHyphen/>
        <w:t>4:</w:t>
      </w:r>
      <w:r>
        <w:rPr>
          <w:rFonts w:ascii="Courier New" w:hAnsi="Courier New" w:cs="Courier New"/>
        </w:rPr>
        <w:t xml:space="preserve"> </w:t>
      </w:r>
      <w:r w:rsidRPr="00954DF3">
        <w:rPr>
          <w:rFonts w:ascii="Courier New" w:hAnsi="Courier New" w:cs="Courier New"/>
          <w:b/>
        </w:rPr>
        <w:t>GARBAGE SERVICES:</w:t>
      </w:r>
    </w:p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Effective with the </w:t>
      </w:r>
      <w:r>
        <w:rPr>
          <w:rFonts w:ascii="Courier New" w:hAnsi="Courier New" w:cs="Courier New"/>
        </w:rPr>
        <w:t xml:space="preserve">bills sent which coincide with the meter reading occurring on or about </w:t>
      </w:r>
      <w:r>
        <w:rPr>
          <w:rFonts w:ascii="Courier New" w:hAnsi="Courier New" w:cs="Courier New"/>
          <w:b/>
        </w:rPr>
        <w:t>November 15, 2014</w:t>
      </w:r>
      <w:r>
        <w:rPr>
          <w:rFonts w:ascii="Courier New" w:hAnsi="Courier New" w:cs="Courier New"/>
        </w:rPr>
        <w:t>, the garbage service rates shall be set as follows:</w:t>
      </w:r>
    </w:p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Pr="004A5882" w:rsidRDefault="00B12962" w:rsidP="00A95587">
      <w:pPr>
        <w:pStyle w:val="ListParagraph"/>
        <w:numPr>
          <w:ilvl w:val="0"/>
          <w:numId w:val="8"/>
        </w:numPr>
        <w:suppressAutoHyphens/>
        <w:spacing w:line="240" w:lineRule="atLeast"/>
        <w:rPr>
          <w:rFonts w:ascii="Courier New" w:hAnsi="Courier New" w:cs="Courier New"/>
        </w:rPr>
      </w:pPr>
      <w:r w:rsidRPr="001602AB">
        <w:rPr>
          <w:rFonts w:ascii="Courier New" w:hAnsi="Courier New" w:cs="Courier New"/>
        </w:rPr>
        <w:t>Resident: The town shall charge for residential garbage services on the basis of the number of collections needed per</w:t>
      </w:r>
      <w:r w:rsidRPr="001602AB">
        <w:rPr>
          <w:rFonts w:ascii="Courier New" w:hAnsi="Courier New" w:cs="Courier New"/>
        </w:rPr>
        <w:t xml:space="preserve"> week, limited to a dumpster or rollout container:</w:t>
      </w:r>
      <w:r w:rsidRPr="004A588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70"/>
        <w:gridCol w:w="4656"/>
      </w:tblGrid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1 collection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9665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9665D">
              <w:rPr>
                <w:rFonts w:ascii="Arial" w:hAnsi="Arial" w:cs="Arial"/>
                <w:b/>
                <w:sz w:val="20"/>
                <w:szCs w:val="20"/>
              </w:rPr>
              <w:t>31.80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</w:tbl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Pr="001602AB" w:rsidRDefault="00B12962" w:rsidP="00A95587">
      <w:pPr>
        <w:pStyle w:val="ListParagraph"/>
        <w:numPr>
          <w:ilvl w:val="0"/>
          <w:numId w:val="8"/>
        </w:numPr>
        <w:suppressAutoHyphens/>
        <w:spacing w:line="240" w:lineRule="atLeast"/>
        <w:rPr>
          <w:rFonts w:ascii="Courier New" w:hAnsi="Courier New" w:cs="Courier New"/>
        </w:rPr>
      </w:pPr>
      <w:r w:rsidRPr="001602AB">
        <w:rPr>
          <w:rFonts w:ascii="Courier New" w:hAnsi="Courier New" w:cs="Courier New"/>
        </w:rPr>
        <w:t>Commercial:</w:t>
      </w:r>
    </w:p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Pr="001602AB" w:rsidRDefault="00B12962" w:rsidP="00A95587">
      <w:pPr>
        <w:pStyle w:val="ListParagraph"/>
        <w:numPr>
          <w:ilvl w:val="1"/>
          <w:numId w:val="8"/>
        </w:numPr>
        <w:suppressAutoHyphens/>
        <w:spacing w:line="240" w:lineRule="atLeast"/>
        <w:rPr>
          <w:rFonts w:ascii="Courier New" w:hAnsi="Courier New" w:cs="Courier New"/>
        </w:rPr>
      </w:pPr>
      <w:r w:rsidRPr="001602AB">
        <w:rPr>
          <w:rFonts w:ascii="Courier New" w:hAnsi="Courier New" w:cs="Courier New"/>
        </w:rPr>
        <w:t xml:space="preserve">Weekly Collections: The town shall charge for commercial garbage services on the basis of the number of collections needed per week. </w:t>
      </w:r>
      <w:r w:rsidRPr="001602AB">
        <w:rPr>
          <w:rFonts w:ascii="Courier New" w:hAnsi="Courier New" w:cs="Courier New"/>
        </w:rPr>
        <w:t>"Commercial" shall be defined as any business or other facility</w:t>
      </w:r>
      <w:r>
        <w:rPr>
          <w:rFonts w:ascii="Courier New" w:hAnsi="Courier New" w:cs="Courier New"/>
        </w:rPr>
        <w:t xml:space="preserve"> that has </w:t>
      </w:r>
      <w:r w:rsidRPr="0013633C">
        <w:rPr>
          <w:rFonts w:ascii="Courier New" w:hAnsi="Courier New" w:cs="Courier New"/>
        </w:rPr>
        <w:t>one</w:t>
      </w:r>
      <w:r w:rsidRPr="001602AB">
        <w:rPr>
          <w:rFonts w:ascii="Courier New" w:hAnsi="Courier New" w:cs="Courier New"/>
        </w:rPr>
        <w:t xml:space="preserve"> approved dumpster or rollout container: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70"/>
        <w:gridCol w:w="4656"/>
      </w:tblGrid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Pr="00E9665D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665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665D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E966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65D">
              <w:rPr>
                <w:rFonts w:ascii="Arial" w:hAnsi="Arial" w:cs="Arial"/>
                <w:sz w:val="20"/>
                <w:szCs w:val="20"/>
              </w:rPr>
              <w:t>1 collection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Pr="00E9665D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Pr="00E9665D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665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$31.80</w:t>
            </w:r>
            <w:r w:rsidRPr="00E9665D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2 collections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$46.80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collections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9665D">
              <w:rPr>
                <w:rFonts w:ascii="Arial" w:hAnsi="Arial" w:cs="Arial"/>
                <w:b/>
                <w:sz w:val="20"/>
                <w:szCs w:val="20"/>
              </w:rPr>
              <w:t>$61.80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collections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9665D">
              <w:rPr>
                <w:rFonts w:ascii="Arial" w:hAnsi="Arial" w:cs="Arial"/>
                <w:b/>
                <w:sz w:val="20"/>
                <w:szCs w:val="20"/>
              </w:rPr>
              <w:t>$71.80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collections per week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E9665D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9665D">
              <w:rPr>
                <w:rFonts w:ascii="Arial" w:hAnsi="Arial" w:cs="Arial"/>
                <w:b/>
                <w:sz w:val="20"/>
                <w:szCs w:val="20"/>
              </w:rPr>
              <w:t>$81.80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434470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434470" w:rsidRPr="00F07AAB" w:rsidRDefault="00B12962" w:rsidP="00434470">
            <w:pPr>
              <w:tabs>
                <w:tab w:val="decimal" w:pos="8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F07AAB">
              <w:rPr>
                <w:rFonts w:ascii="Arial" w:hAnsi="Arial" w:cs="Arial"/>
                <w:b/>
                <w:sz w:val="18"/>
                <w:szCs w:val="20"/>
              </w:rPr>
              <w:t>Each Additional Dumpster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34470" w:rsidRPr="00F07AAB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434470" w:rsidRPr="00F07AAB" w:rsidRDefault="00B12962" w:rsidP="00A95587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F07AAB">
              <w:rPr>
                <w:rFonts w:ascii="Arial" w:hAnsi="Arial" w:cs="Arial"/>
                <w:b/>
                <w:sz w:val="18"/>
                <w:szCs w:val="20"/>
              </w:rPr>
              <w:t>85% of first dumpster or rollout charge</w:t>
            </w:r>
          </w:p>
        </w:tc>
      </w:tr>
    </w:tbl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A95587" w:rsidRPr="001602AB" w:rsidRDefault="00B12962" w:rsidP="00A95587">
      <w:pPr>
        <w:pStyle w:val="ListParagraph"/>
        <w:numPr>
          <w:ilvl w:val="1"/>
          <w:numId w:val="8"/>
        </w:numPr>
        <w:suppressAutoHyphens/>
        <w:spacing w:line="240" w:lineRule="atLeast"/>
        <w:rPr>
          <w:rFonts w:ascii="Courier New" w:hAnsi="Courier New" w:cs="Courier New"/>
        </w:rPr>
      </w:pPr>
      <w:r w:rsidRPr="001602AB">
        <w:rPr>
          <w:rFonts w:ascii="Courier New" w:hAnsi="Courier New" w:cs="Courier New"/>
        </w:rPr>
        <w:t xml:space="preserve">Unscheduled Collections: The town shall charge for additional unscheduled commercial </w:t>
      </w:r>
      <w:r w:rsidRPr="001602AB">
        <w:rPr>
          <w:rFonts w:ascii="Courier New" w:hAnsi="Courier New" w:cs="Courier New"/>
        </w:rPr>
        <w:t>garbage services, or picking up more than one approved</w:t>
      </w:r>
      <w:r w:rsidRPr="00E5266F">
        <w:rPr>
          <w:rFonts w:ascii="Courier New" w:hAnsi="Courier New" w:cs="Courier New"/>
        </w:rPr>
        <w:t>/contracted</w:t>
      </w:r>
      <w:r w:rsidRPr="001602AB">
        <w:rPr>
          <w:rFonts w:ascii="Courier New" w:hAnsi="Courier New" w:cs="Courier New"/>
        </w:rPr>
        <w:t xml:space="preserve"> dumpster or rollout container on a basis of a flat rate per collection regardless of the number of containers, as follows:</w:t>
      </w:r>
    </w:p>
    <w:p w:rsidR="00A95587" w:rsidRDefault="00B12962" w:rsidP="00A95587">
      <w:pPr>
        <w:tabs>
          <w:tab w:val="decimal" w:pos="840"/>
        </w:tabs>
        <w:suppressAutoHyphens/>
        <w:spacing w:line="240" w:lineRule="atLeast"/>
        <w:ind w:left="720" w:righ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70"/>
        <w:gridCol w:w="4656"/>
      </w:tblGrid>
      <w:tr w:rsidR="00A9558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Each additional unscheduled collection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5587" w:rsidRDefault="00B12962" w:rsidP="00F07AAB">
            <w:pPr>
              <w:tabs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rFonts w:ascii="Arial" w:hAnsi="Arial" w:cs="Arial"/>
                <w:sz w:val="20"/>
                <w:szCs w:val="20"/>
              </w:rPr>
              <w:t>34.50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collection</w:t>
            </w:r>
          </w:p>
        </w:tc>
      </w:tr>
    </w:tbl>
    <w:p w:rsidR="00A95587" w:rsidRDefault="00B12962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241CB4" w:rsidRPr="00241CB4" w:rsidRDefault="00B12962" w:rsidP="00CE4C31">
      <w:pPr>
        <w:pStyle w:val="ListParagraph"/>
        <w:suppressAutoHyphens/>
        <w:spacing w:line="240" w:lineRule="atLeast"/>
        <w:ind w:left="420"/>
        <w:rPr>
          <w:rFonts w:ascii="Courier New" w:hAnsi="Courier New" w:cs="Courier New"/>
        </w:rPr>
      </w:pPr>
    </w:p>
    <w:p w:rsidR="00CC5965" w:rsidRPr="00241CB4" w:rsidRDefault="00CC5965" w:rsidP="00CE4C31">
      <w:pPr>
        <w:suppressAutoHyphens/>
        <w:spacing w:line="240" w:lineRule="atLeast"/>
        <w:ind w:left="1440" w:hanging="720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2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: </w:t>
      </w:r>
      <w:r w:rsidRPr="00241CB4">
        <w:rPr>
          <w:rFonts w:ascii="Courier New" w:hAnsi="Courier New" w:cs="Courier New"/>
          <w:sz w:val="24"/>
          <w:szCs w:val="24"/>
        </w:rPr>
        <w:t>If any portion of this ordinance is held o</w:t>
      </w:r>
      <w:r w:rsidR="00B12962" w:rsidRPr="00241CB4">
        <w:rPr>
          <w:rFonts w:ascii="Courier New" w:hAnsi="Courier New" w:cs="Courier New"/>
          <w:sz w:val="24"/>
          <w:szCs w:val="24"/>
        </w:rPr>
        <w:t>r</w:t>
      </w:r>
      <w:r w:rsidRPr="00241CB4">
        <w:rPr>
          <w:rFonts w:ascii="Courier New" w:hAnsi="Courier New" w:cs="Courier New"/>
          <w:sz w:val="24"/>
          <w:szCs w:val="24"/>
        </w:rPr>
        <w:t xml:space="preserve"> found to be invalid, the remainder of the ordinance shall continue to be in full force and effect.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3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</w:rPr>
        <w:t xml:space="preserve"> All ordinances or parts of ordinances of the Town of Basin in conflict herewith are hereby repealed.</w:t>
      </w:r>
    </w:p>
    <w:p w:rsidR="00CF2049" w:rsidRDefault="00B129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4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="00B12962" w:rsidRPr="00241CB4">
        <w:rPr>
          <w:rFonts w:ascii="Courier New" w:hAnsi="Courier New" w:cs="Courier New"/>
          <w:b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 xml:space="preserve"> This ordinance shall take effect and be in full force and effect on </w:t>
      </w:r>
      <w:r w:rsidR="00B12962">
        <w:rPr>
          <w:rFonts w:ascii="Courier New" w:hAnsi="Courier New" w:cs="Courier New"/>
          <w:b/>
          <w:sz w:val="24"/>
          <w:szCs w:val="24"/>
        </w:rPr>
        <w:t>November 15, 2014</w:t>
      </w:r>
      <w:r w:rsidRPr="00241CB4">
        <w:rPr>
          <w:rFonts w:ascii="Courier New" w:hAnsi="Courier New" w:cs="Courier New"/>
          <w:b/>
          <w:sz w:val="24"/>
          <w:szCs w:val="24"/>
        </w:rPr>
        <w:t>,</w:t>
      </w:r>
      <w:r w:rsidRPr="00241CB4">
        <w:rPr>
          <w:rFonts w:ascii="Courier New" w:hAnsi="Courier New" w:cs="Courier New"/>
          <w:sz w:val="24"/>
          <w:szCs w:val="24"/>
        </w:rPr>
        <w:t xml:space="preserve"> after having been pu</w:t>
      </w:r>
      <w:r w:rsidR="00B12962" w:rsidRPr="00241CB4">
        <w:rPr>
          <w:rFonts w:ascii="Courier New" w:hAnsi="Courier New" w:cs="Courier New"/>
          <w:sz w:val="24"/>
          <w:szCs w:val="24"/>
        </w:rPr>
        <w:t>b</w:t>
      </w:r>
      <w:r w:rsidRPr="00241CB4">
        <w:rPr>
          <w:rFonts w:ascii="Courier New" w:hAnsi="Courier New" w:cs="Courier New"/>
          <w:sz w:val="24"/>
          <w:szCs w:val="24"/>
        </w:rPr>
        <w:t>lished in the Basin Republican Rustler.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</w:r>
      <w:proofErr w:type="gramStart"/>
      <w:r w:rsidR="00B12962" w:rsidRPr="00241CB4">
        <w:rPr>
          <w:rFonts w:ascii="Courier New" w:hAnsi="Courier New" w:cs="Courier New"/>
          <w:sz w:val="24"/>
          <w:szCs w:val="24"/>
        </w:rPr>
        <w:t xml:space="preserve">PASSED ON FIRST READING </w:t>
      </w:r>
      <w:r w:rsidR="00B12962">
        <w:rPr>
          <w:rFonts w:ascii="Courier New" w:hAnsi="Courier New" w:cs="Courier New"/>
          <w:b/>
          <w:sz w:val="24"/>
          <w:szCs w:val="24"/>
        </w:rPr>
        <w:t>September 8, 2014</w:t>
      </w:r>
      <w:r w:rsidR="00B12962" w:rsidRPr="00241CB4">
        <w:rPr>
          <w:rFonts w:ascii="Courier New" w:hAnsi="Courier New" w:cs="Courier New"/>
          <w:b/>
          <w:sz w:val="24"/>
          <w:szCs w:val="24"/>
        </w:rPr>
        <w:t>.</w:t>
      </w:r>
      <w:proofErr w:type="gramEnd"/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</w:r>
      <w:proofErr w:type="gramStart"/>
      <w:r w:rsidRPr="00241CB4">
        <w:rPr>
          <w:rFonts w:ascii="Courier New" w:hAnsi="Courier New" w:cs="Courier New"/>
          <w:sz w:val="24"/>
          <w:szCs w:val="24"/>
        </w:rPr>
        <w:t xml:space="preserve">PASSED ON SECOND READING </w:t>
      </w:r>
      <w:r>
        <w:rPr>
          <w:rFonts w:ascii="Courier New" w:hAnsi="Courier New" w:cs="Courier New"/>
          <w:b/>
          <w:sz w:val="24"/>
          <w:szCs w:val="24"/>
        </w:rPr>
        <w:t>__________________</w:t>
      </w:r>
      <w:r w:rsidRPr="00241CB4">
        <w:rPr>
          <w:rFonts w:ascii="Courier New" w:hAnsi="Courier New" w:cs="Courier New"/>
          <w:b/>
          <w:sz w:val="24"/>
          <w:szCs w:val="24"/>
        </w:rPr>
        <w:t>.</w:t>
      </w:r>
      <w:proofErr w:type="gramEnd"/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  <w:t>PASSED</w:t>
      </w:r>
      <w:r w:rsidRPr="00241CB4">
        <w:rPr>
          <w:rFonts w:ascii="Courier New" w:hAnsi="Courier New" w:cs="Courier New"/>
          <w:sz w:val="24"/>
          <w:szCs w:val="24"/>
        </w:rPr>
        <w:t xml:space="preserve">, </w:t>
      </w:r>
      <w:r w:rsidRPr="00241CB4">
        <w:rPr>
          <w:rFonts w:ascii="Courier New" w:hAnsi="Courier New" w:cs="Courier New"/>
          <w:sz w:val="24"/>
          <w:szCs w:val="24"/>
        </w:rPr>
        <w:t xml:space="preserve">APPROVED AND ADOPTED ON THIRD AND FINAL READING </w:t>
      </w:r>
      <w:r>
        <w:rPr>
          <w:rFonts w:ascii="Courier New" w:hAnsi="Courier New" w:cs="Courier New"/>
          <w:b/>
          <w:sz w:val="24"/>
          <w:szCs w:val="24"/>
        </w:rPr>
        <w:t>_________________</w:t>
      </w:r>
      <w:r w:rsidRPr="00241CB4">
        <w:rPr>
          <w:rFonts w:ascii="Courier New" w:hAnsi="Courier New" w:cs="Courier New"/>
          <w:b/>
          <w:sz w:val="24"/>
          <w:szCs w:val="24"/>
        </w:rPr>
        <w:t>.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 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                TOWN OF BASIN, WYOMING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 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241CB4">
        <w:rPr>
          <w:rFonts w:ascii="Courier New" w:hAnsi="Courier New" w:cs="Courier New"/>
          <w:sz w:val="24"/>
          <w:szCs w:val="24"/>
        </w:rPr>
        <w:t>A Municipal Corporation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                    </w:t>
      </w:r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 xml:space="preserve">    </w:t>
      </w:r>
      <w:r w:rsidRPr="00241CB4">
        <w:rPr>
          <w:rFonts w:ascii="Courier New" w:hAnsi="Courier New" w:cs="Courier New"/>
          <w:sz w:val="24"/>
          <w:szCs w:val="24"/>
        </w:rPr>
        <w:t xml:space="preserve">  </w:t>
      </w:r>
      <w:r w:rsidRPr="00241CB4">
        <w:rPr>
          <w:rFonts w:ascii="Courier New" w:hAnsi="Courier New" w:cs="Courier New"/>
          <w:sz w:val="24"/>
          <w:szCs w:val="24"/>
        </w:rPr>
        <w:t xml:space="preserve">     By</w:t>
      </w:r>
      <w:proofErr w:type="gramStart"/>
      <w:r w:rsidRPr="00241CB4">
        <w:rPr>
          <w:rFonts w:ascii="Courier New" w:hAnsi="Courier New" w:cs="Courier New"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  <w:u w:val="single"/>
        </w:rPr>
        <w:t>_</w:t>
      </w:r>
      <w:proofErr w:type="gramEnd"/>
      <w:r w:rsidRPr="00241CB4">
        <w:rPr>
          <w:rFonts w:ascii="Courier New" w:hAnsi="Courier New" w:cs="Courier New"/>
          <w:sz w:val="24"/>
          <w:szCs w:val="24"/>
          <w:u w:val="single"/>
        </w:rPr>
        <w:t>____________________________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241CB4">
        <w:rPr>
          <w:rFonts w:ascii="Courier New" w:hAnsi="Courier New" w:cs="Courier New"/>
          <w:sz w:val="24"/>
          <w:szCs w:val="24"/>
        </w:rPr>
        <w:t xml:space="preserve">  </w:t>
      </w:r>
      <w:r w:rsidRPr="00241CB4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sz w:val="24"/>
          <w:szCs w:val="24"/>
        </w:rPr>
        <w:t>Dave Cooper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– Mayor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>ATTEST:</w:t>
      </w: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B12962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  <w:u w:val="single"/>
        </w:rPr>
        <w:t>______________________________</w:t>
      </w:r>
    </w:p>
    <w:p w:rsidR="00D01305" w:rsidRPr="00241CB4" w:rsidRDefault="00B12962" w:rsidP="00E31F55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DANIELLE CHAPMAN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– Town Clerk</w:t>
      </w:r>
      <w:r w:rsidRPr="00241CB4">
        <w:rPr>
          <w:rFonts w:ascii="Courier New" w:hAnsi="Courier New" w:cs="Courier New"/>
          <w:sz w:val="24"/>
          <w:szCs w:val="24"/>
        </w:rPr>
        <w:t xml:space="preserve">    </w:t>
      </w:r>
      <w:bookmarkStart w:id="0" w:name="_GoBack"/>
      <w:bookmarkEnd w:id="0"/>
      <w:r w:rsidRPr="00241CB4">
        <w:rPr>
          <w:rFonts w:ascii="Courier New" w:hAnsi="Courier New" w:cs="Courier New"/>
          <w:sz w:val="24"/>
          <w:szCs w:val="24"/>
        </w:rPr>
        <w:t xml:space="preserve">                   </w:t>
      </w:r>
    </w:p>
    <w:sectPr w:rsidR="00D01305" w:rsidRPr="00241CB4" w:rsidSect="00E31F55">
      <w:pgSz w:w="12240" w:h="20160" w:code="5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6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65"/>
    <w:rsid w:val="00B12962"/>
    <w:rsid w:val="00C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Chapman</cp:lastModifiedBy>
  <cp:revision>2</cp:revision>
  <dcterms:created xsi:type="dcterms:W3CDTF">2014-09-05T20:32:00Z</dcterms:created>
  <dcterms:modified xsi:type="dcterms:W3CDTF">2014-09-05T20:32:00Z</dcterms:modified>
</cp:coreProperties>
</file>